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E5A78"/>
          <w:spacing w:val="60"/>
          <w:sz w:val="18"/>
          <w:szCs w:val="18"/>
        </w:rPr>
        <w:t xml:space="preserve">NEWHAM ASPIRE</w:t>
      </w:r>
    </w:p>
    <w:p>
      <w:pPr>
        <w:pBdr>
          <w:bottom w:val="single" w:color="F39317" w:sz="12" w:space="6"/>
        </w:pBdr>
        <w:spacing w:after="80"/>
      </w:pPr>
      <w:r>
        <w:rPr>
          <w:rFonts w:ascii="Calibri" w:cs="Calibri" w:eastAsia="Calibri" w:hAnsi="Calibri"/>
          <w:b/>
          <w:bCs/>
          <w:color w:val="0E5A78"/>
          <w:sz w:val="40"/>
          <w:szCs w:val="40"/>
        </w:rPr>
        <w:t xml:space="preserve">Safeguarding and Child Protection</w:t>
      </w:r>
    </w:p>
    <w:p>
      <w:pPr>
        <w:spacing w:after="200" w:before="160"/>
      </w:pPr>
      <w:r>
        <w:rPr>
          <w:i/>
          <w:iCs/>
          <w:color w:val="5A6673"/>
          <w:sz w:val="20"/>
          <w:szCs w:val="20"/>
        </w:rPr>
        <w:t xml:space="preserve">Every mentor must read this before their first session. It explains how to spot a concern, how to report it, and who to contact.</w:t>
      </w:r>
    </w:p>
    <w:p>
      <w:pPr>
        <w:pBdr>
          <w:top w:val="single" w:color="F3C98B" w:sz="2" w:space="8"/>
          <w:bottom w:val="single" w:color="F3C98B" w:sz="2" w:space="8"/>
          <w:left w:val="single" w:color="F39317" w:sz="12" w:space="8"/>
          <w:right w:val="single" w:color="F3C98B" w:sz="2" w:space="8"/>
        </w:pBdr>
        <w:shd w:fill="FFF4E4" w:val="clear"/>
        <w:spacing w:after="140" w:before="140"/>
      </w:pPr>
      <w:r>
        <w:rPr>
          <w:sz w:val="20"/>
          <w:szCs w:val="20"/>
        </w:rPr>
        <w:t xml:space="preserve">Before you use this document, fill in every item in [square brackets] and check the local phone numbers are current. Trustees should approve it and set a review date.</w:t>
      </w:r>
    </w:p>
    <w:p>
      <w:pPr>
        <w:pStyle w:val="Heading2"/>
        <w:spacing w:after="100" w:before="260"/>
      </w:pPr>
      <w:r>
        <w:rPr>
          <w:b/>
          <w:bCs/>
          <w:color w:val="0E5A78"/>
          <w:sz w:val="26"/>
          <w:szCs w:val="26"/>
        </w:rPr>
        <w:t xml:space="preserve">Our commitment</w:t>
      </w:r>
    </w:p>
    <w:p>
      <w:pPr>
        <w:spacing w:after="120"/>
      </w:pPr>
      <w:r>
        <w:rPr>
          <w:b w:val="false"/>
          <w:bCs w:val="false"/>
          <w:sz w:val="21"/>
          <w:szCs w:val="21"/>
        </w:rPr>
        <w:t xml:space="preserve">Newham Aspire works with young people aged 11 to 18. We are committed to safeguarding and promoting their welfare, and we expect the same of every mentor, member of staff, volunteer and trustee.</w:t>
      </w:r>
    </w:p>
    <w:p>
      <w:pPr>
        <w:spacing w:after="120"/>
      </w:pPr>
      <w:r>
        <w:rPr>
          <w:b w:val="false"/>
          <w:bCs w:val="false"/>
          <w:sz w:val="21"/>
          <w:szCs w:val="21"/>
        </w:rPr>
        <w:t xml:space="preserve">We follow Working Together to Safeguard Children (2023), the Charity Commission's safeguarding guidance for trustees, and the procedures of the Newham Safeguarding Children Partnership.</w:t>
      </w:r>
    </w:p>
    <w:p>
      <w:pPr>
        <w:pStyle w:val="Heading2"/>
        <w:spacing w:after="100" w:before="260"/>
      </w:pPr>
      <w:r>
        <w:rPr>
          <w:b/>
          <w:bCs/>
          <w:color w:val="0E5A78"/>
          <w:sz w:val="26"/>
          <w:szCs w:val="26"/>
        </w:rPr>
        <w:t xml:space="preserve">Who to contact</w:t>
      </w:r>
    </w:p>
    <w:tbl>
      <w:tblPr>
        <w:tblW w:type="dxa" w:w="9020"/>
        <w:tblBorders>
          <w:top w:val="single" w:color="D9E0E6" w:sz="2"/>
          <w:left w:val="single" w:color="D9E0E6" w:sz="2"/>
          <w:bottom w:val="single" w:color="D9E0E6" w:sz="2"/>
          <w:right w:val="single" w:color="D9E0E6" w:sz="2"/>
          <w:insideH w:val="single" w:color="D9E0E6" w:sz="2"/>
          <w:insideV w:val="single" w:color="D9E0E6" w:sz="2"/>
        </w:tblBorders>
      </w:tblPr>
      <w:tblGrid>
        <w:gridCol w:w="3200"/>
        <w:gridCol w:w="5820"/>
      </w:tblGrid>
      <w:tr>
        <w:tc>
          <w:tcPr>
            <w:tcW w:type="dxa" w:w="3200"/>
            <w:shd w:fill="E7F1F5" w:val="clear"/>
            <w:tcMar>
              <w:top w:type="dxa" w:w="90"/>
              <w:left w:type="dxa" w:w="130"/>
              <w:bottom w:type="dxa" w:w="90"/>
              <w:right w:type="dxa" w:w="130"/>
            </w:tcMar>
          </w:tcPr>
          <w:p>
            <w:r>
              <w:rPr>
                <w:b/>
                <w:bCs/>
                <w:color w:val="0E5A78"/>
                <w:sz w:val="20"/>
                <w:szCs w:val="20"/>
              </w:rPr>
              <w:t xml:space="preserve">Role</w:t>
            </w:r>
          </w:p>
        </w:tc>
        <w:tc>
          <w:tcPr>
            <w:tcW w:type="dxa" w:w="5820"/>
            <w:shd w:fill="E7F1F5" w:val="clear"/>
            <w:tcMar>
              <w:top w:type="dxa" w:w="90"/>
              <w:left w:type="dxa" w:w="130"/>
              <w:bottom w:type="dxa" w:w="90"/>
              <w:right w:type="dxa" w:w="130"/>
            </w:tcMar>
          </w:tcPr>
          <w:p>
            <w:r>
              <w:rPr>
                <w:b/>
                <w:bCs/>
                <w:color w:val="0E5A78"/>
                <w:sz w:val="20"/>
                <w:szCs w:val="20"/>
              </w:rPr>
              <w:t xml:space="preserve">Contact</w:t>
            </w:r>
          </w:p>
        </w:tc>
      </w:tr>
      <w:tr>
        <w:tc>
          <w:tcPr>
            <w:tcW w:type="dxa" w:w="3200"/>
            <w:tcMar>
              <w:top w:type="dxa" w:w="90"/>
              <w:left w:type="dxa" w:w="130"/>
              <w:bottom w:type="dxa" w:w="90"/>
              <w:right w:type="dxa" w:w="130"/>
            </w:tcMar>
          </w:tcPr>
          <w:p>
            <w:r>
              <w:rPr>
                <w:b/>
                <w:bCs/>
                <w:sz w:val="20"/>
                <w:szCs w:val="20"/>
              </w:rPr>
              <w:t xml:space="preserve">Designated Safeguarding Lead</w:t>
            </w:r>
          </w:p>
        </w:tc>
        <w:tc>
          <w:tcPr>
            <w:tcW w:type="dxa" w:w="5820"/>
            <w:tcMar>
              <w:top w:type="dxa" w:w="90"/>
              <w:left w:type="dxa" w:w="130"/>
              <w:bottom w:type="dxa" w:w="90"/>
              <w:right w:type="dxa" w:w="130"/>
            </w:tcMar>
          </w:tcPr>
          <w:p>
            <w:r>
              <w:rPr>
                <w:b w:val="false"/>
                <w:bCs w:val="false"/>
                <w:sz w:val="20"/>
                <w:szCs w:val="20"/>
              </w:rPr>
              <w:t xml:space="preserve">[name], [phone], [email]</w:t>
            </w:r>
          </w:p>
        </w:tc>
      </w:tr>
      <w:tr>
        <w:tc>
          <w:tcPr>
            <w:tcW w:type="dxa" w:w="3200"/>
            <w:tcMar>
              <w:top w:type="dxa" w:w="90"/>
              <w:left w:type="dxa" w:w="130"/>
              <w:bottom w:type="dxa" w:w="90"/>
              <w:right w:type="dxa" w:w="130"/>
            </w:tcMar>
          </w:tcPr>
          <w:p>
            <w:r>
              <w:rPr>
                <w:b/>
                <w:bCs/>
                <w:sz w:val="20"/>
                <w:szCs w:val="20"/>
              </w:rPr>
              <w:t xml:space="preserve">Deputy Safeguarding Lead</w:t>
            </w:r>
          </w:p>
        </w:tc>
        <w:tc>
          <w:tcPr>
            <w:tcW w:type="dxa" w:w="5820"/>
            <w:tcMar>
              <w:top w:type="dxa" w:w="90"/>
              <w:left w:type="dxa" w:w="130"/>
              <w:bottom w:type="dxa" w:w="90"/>
              <w:right w:type="dxa" w:w="130"/>
            </w:tcMar>
          </w:tcPr>
          <w:p>
            <w:r>
              <w:rPr>
                <w:b w:val="false"/>
                <w:bCs w:val="false"/>
                <w:sz w:val="20"/>
                <w:szCs w:val="20"/>
              </w:rPr>
              <w:t xml:space="preserve">[name], [phone], [email]</w:t>
            </w:r>
          </w:p>
        </w:tc>
      </w:tr>
      <w:tr>
        <w:tc>
          <w:tcPr>
            <w:tcW w:type="dxa" w:w="3200"/>
            <w:tcMar>
              <w:top w:type="dxa" w:w="90"/>
              <w:left w:type="dxa" w:w="130"/>
              <w:bottom w:type="dxa" w:w="90"/>
              <w:right w:type="dxa" w:w="130"/>
            </w:tcMar>
          </w:tcPr>
          <w:p>
            <w:r>
              <w:rPr>
                <w:b/>
                <w:bCs/>
                <w:sz w:val="20"/>
                <w:szCs w:val="20"/>
              </w:rPr>
              <w:t xml:space="preserve">Trustee for safeguarding</w:t>
            </w:r>
          </w:p>
        </w:tc>
        <w:tc>
          <w:tcPr>
            <w:tcW w:type="dxa" w:w="5820"/>
            <w:tcMar>
              <w:top w:type="dxa" w:w="90"/>
              <w:left w:type="dxa" w:w="130"/>
              <w:bottom w:type="dxa" w:w="90"/>
              <w:right w:type="dxa" w:w="130"/>
            </w:tcMar>
          </w:tcPr>
          <w:p>
            <w:r>
              <w:rPr>
                <w:b w:val="false"/>
                <w:bCs w:val="false"/>
                <w:sz w:val="20"/>
                <w:szCs w:val="20"/>
              </w:rPr>
              <w:t xml:space="preserve">[name], [email]</w:t>
            </w:r>
          </w:p>
        </w:tc>
      </w:tr>
      <w:tr>
        <w:tc>
          <w:tcPr>
            <w:tcW w:type="dxa" w:w="3200"/>
            <w:tcMar>
              <w:top w:type="dxa" w:w="90"/>
              <w:left w:type="dxa" w:w="130"/>
              <w:bottom w:type="dxa" w:w="90"/>
              <w:right w:type="dxa" w:w="130"/>
            </w:tcMar>
          </w:tcPr>
          <w:p>
            <w:r>
              <w:rPr>
                <w:b/>
                <w:bCs/>
                <w:sz w:val="20"/>
                <w:szCs w:val="20"/>
              </w:rPr>
              <w:t xml:space="preserve">Child in immediate danger</w:t>
            </w:r>
          </w:p>
        </w:tc>
        <w:tc>
          <w:tcPr>
            <w:tcW w:type="dxa" w:w="5820"/>
            <w:tcMar>
              <w:top w:type="dxa" w:w="90"/>
              <w:left w:type="dxa" w:w="130"/>
              <w:bottom w:type="dxa" w:w="90"/>
              <w:right w:type="dxa" w:w="130"/>
            </w:tcMar>
          </w:tcPr>
          <w:p>
            <w:r>
              <w:rPr>
                <w:b w:val="false"/>
                <w:bCs w:val="false"/>
                <w:sz w:val="20"/>
                <w:szCs w:val="20"/>
              </w:rPr>
              <w:t xml:space="preserve">Police, 999</w:t>
            </w:r>
          </w:p>
        </w:tc>
      </w:tr>
      <w:tr>
        <w:tc>
          <w:tcPr>
            <w:tcW w:type="dxa" w:w="3200"/>
            <w:tcMar>
              <w:top w:type="dxa" w:w="90"/>
              <w:left w:type="dxa" w:w="130"/>
              <w:bottom w:type="dxa" w:w="90"/>
              <w:right w:type="dxa" w:w="130"/>
            </w:tcMar>
          </w:tcPr>
          <w:p>
            <w:r>
              <w:rPr>
                <w:b/>
                <w:bCs/>
                <w:sz w:val="20"/>
                <w:szCs w:val="20"/>
              </w:rPr>
              <w:t xml:space="preserve">Newham children's social care</w:t>
            </w:r>
          </w:p>
        </w:tc>
        <w:tc>
          <w:tcPr>
            <w:tcW w:type="dxa" w:w="5820"/>
            <w:tcMar>
              <w:top w:type="dxa" w:w="90"/>
              <w:left w:type="dxa" w:w="130"/>
              <w:bottom w:type="dxa" w:w="90"/>
              <w:right w:type="dxa" w:w="130"/>
            </w:tcMar>
          </w:tcPr>
          <w:p>
            <w:r>
              <w:rPr>
                <w:b w:val="false"/>
                <w:bCs w:val="false"/>
                <w:sz w:val="20"/>
                <w:szCs w:val="20"/>
              </w:rPr>
              <w:t xml:space="preserve">[Newham MASH phone] (office hours), [out of hours phone]</w:t>
            </w:r>
          </w:p>
        </w:tc>
      </w:tr>
      <w:tr>
        <w:tc>
          <w:tcPr>
            <w:tcW w:type="dxa" w:w="3200"/>
            <w:tcMar>
              <w:top w:type="dxa" w:w="90"/>
              <w:left w:type="dxa" w:w="130"/>
              <w:bottom w:type="dxa" w:w="90"/>
              <w:right w:type="dxa" w:w="130"/>
            </w:tcMar>
          </w:tcPr>
          <w:p>
            <w:r>
              <w:rPr>
                <w:b/>
                <w:bCs/>
                <w:sz w:val="20"/>
                <w:szCs w:val="20"/>
              </w:rPr>
              <w:t xml:space="preserve">Newham LADO</w:t>
            </w:r>
          </w:p>
        </w:tc>
        <w:tc>
          <w:tcPr>
            <w:tcW w:type="dxa" w:w="5820"/>
            <w:tcMar>
              <w:top w:type="dxa" w:w="90"/>
              <w:left w:type="dxa" w:w="130"/>
              <w:bottom w:type="dxa" w:w="90"/>
              <w:right w:type="dxa" w:w="130"/>
            </w:tcMar>
          </w:tcPr>
          <w:p>
            <w:r>
              <w:rPr>
                <w:b w:val="false"/>
                <w:bCs w:val="false"/>
                <w:sz w:val="20"/>
                <w:szCs w:val="20"/>
              </w:rPr>
              <w:t xml:space="preserve">[LADO phone], [LADO email]</w:t>
            </w:r>
          </w:p>
        </w:tc>
      </w:tr>
      <w:tr>
        <w:tc>
          <w:tcPr>
            <w:tcW w:type="dxa" w:w="3200"/>
            <w:tcMar>
              <w:top w:type="dxa" w:w="90"/>
              <w:left w:type="dxa" w:w="130"/>
              <w:bottom w:type="dxa" w:w="90"/>
              <w:right w:type="dxa" w:w="130"/>
            </w:tcMar>
          </w:tcPr>
          <w:p>
            <w:r>
              <w:rPr>
                <w:b/>
                <w:bCs/>
                <w:sz w:val="20"/>
                <w:szCs w:val="20"/>
              </w:rPr>
              <w:t xml:space="preserve">NSPCC helpline</w:t>
            </w:r>
          </w:p>
        </w:tc>
        <w:tc>
          <w:tcPr>
            <w:tcW w:type="dxa" w:w="5820"/>
            <w:tcMar>
              <w:top w:type="dxa" w:w="90"/>
              <w:left w:type="dxa" w:w="130"/>
              <w:bottom w:type="dxa" w:w="90"/>
              <w:right w:type="dxa" w:w="130"/>
            </w:tcMar>
          </w:tcPr>
          <w:p>
            <w:r>
              <w:rPr>
                <w:b w:val="false"/>
                <w:bCs w:val="false"/>
                <w:sz w:val="20"/>
                <w:szCs w:val="20"/>
              </w:rPr>
              <w:t xml:space="preserve">0808 800 5000</w:t>
            </w:r>
          </w:p>
        </w:tc>
      </w:tr>
      <w:tr>
        <w:tc>
          <w:tcPr>
            <w:tcW w:type="dxa" w:w="3200"/>
            <w:tcMar>
              <w:top w:type="dxa" w:w="90"/>
              <w:left w:type="dxa" w:w="130"/>
              <w:bottom w:type="dxa" w:w="90"/>
              <w:right w:type="dxa" w:w="130"/>
            </w:tcMar>
          </w:tcPr>
          <w:p>
            <w:r>
              <w:rPr>
                <w:b/>
                <w:bCs/>
                <w:sz w:val="20"/>
                <w:szCs w:val="20"/>
              </w:rPr>
              <w:t xml:space="preserve">NSPCC whistleblowing line</w:t>
            </w:r>
          </w:p>
        </w:tc>
        <w:tc>
          <w:tcPr>
            <w:tcW w:type="dxa" w:w="5820"/>
            <w:tcMar>
              <w:top w:type="dxa" w:w="90"/>
              <w:left w:type="dxa" w:w="130"/>
              <w:bottom w:type="dxa" w:w="90"/>
              <w:right w:type="dxa" w:w="130"/>
            </w:tcMar>
          </w:tcPr>
          <w:p>
            <w:r>
              <w:rPr>
                <w:b w:val="false"/>
                <w:bCs w:val="false"/>
                <w:sz w:val="20"/>
                <w:szCs w:val="20"/>
              </w:rPr>
              <w:t xml:space="preserve">0800 028 0285</w:t>
            </w:r>
          </w:p>
        </w:tc>
      </w:tr>
      <w:tr>
        <w:tc>
          <w:tcPr>
            <w:tcW w:type="dxa" w:w="3200"/>
            <w:tcMar>
              <w:top w:type="dxa" w:w="90"/>
              <w:left w:type="dxa" w:w="130"/>
              <w:bottom w:type="dxa" w:w="90"/>
              <w:right w:type="dxa" w:w="130"/>
            </w:tcMar>
          </w:tcPr>
          <w:p>
            <w:r>
              <w:rPr>
                <w:b/>
                <w:bCs/>
                <w:sz w:val="20"/>
                <w:szCs w:val="20"/>
              </w:rPr>
              <w:t xml:space="preserve">Childline (for young people)</w:t>
            </w:r>
          </w:p>
        </w:tc>
        <w:tc>
          <w:tcPr>
            <w:tcW w:type="dxa" w:w="5820"/>
            <w:tcMar>
              <w:top w:type="dxa" w:w="90"/>
              <w:left w:type="dxa" w:w="130"/>
              <w:bottom w:type="dxa" w:w="90"/>
              <w:right w:type="dxa" w:w="130"/>
            </w:tcMar>
          </w:tcPr>
          <w:p>
            <w:r>
              <w:rPr>
                <w:b w:val="false"/>
                <w:bCs w:val="false"/>
                <w:sz w:val="20"/>
                <w:szCs w:val="20"/>
              </w:rPr>
              <w:t xml:space="preserve">0800 1111</w:t>
            </w:r>
          </w:p>
        </w:tc>
      </w:tr>
    </w:tbl>
    <w:p>
      <w:pPr>
        <w:pStyle w:val="Heading2"/>
        <w:spacing w:after="100" w:before="260"/>
      </w:pPr>
      <w:r>
        <w:rPr>
          <w:b/>
          <w:bCs/>
          <w:color w:val="0E5A78"/>
          <w:sz w:val="26"/>
          <w:szCs w:val="26"/>
        </w:rPr>
        <w:t xml:space="preserve">Before you start</w:t>
      </w:r>
    </w:p>
    <w:p>
      <w:pPr>
        <w:spacing w:after="120"/>
      </w:pPr>
      <w:r>
        <w:rPr>
          <w:b w:val="false"/>
          <w:bCs w:val="false"/>
          <w:sz w:val="21"/>
          <w:szCs w:val="21"/>
        </w:rPr>
        <w:t xml:space="preserve">You cannot begin mentoring until all of the following are complete:</w:t>
      </w:r>
    </w:p>
    <w:p>
      <w:pPr>
        <w:pStyle w:val="ListParagraph"/>
        <w:numPr>
          <w:ilvl w:val="0"/>
          <w:numId w:val="2"/>
        </w:numPr>
        <w:spacing w:after="70"/>
      </w:pPr>
      <w:r>
        <w:rPr>
          <w:sz w:val="21"/>
          <w:szCs w:val="21"/>
        </w:rPr>
        <w:t xml:space="preserve">An Enhanced DBS check including the children's barred list. Mentoring under-18s regularly is regulated activity, so this level of check is required by law.</w:t>
      </w:r>
    </w:p>
    <w:p>
      <w:pPr>
        <w:pStyle w:val="ListParagraph"/>
        <w:numPr>
          <w:ilvl w:val="0"/>
          <w:numId w:val="2"/>
        </w:numPr>
        <w:spacing w:after="70"/>
      </w:pPr>
      <w:r>
        <w:rPr>
          <w:sz w:val="21"/>
          <w:szCs w:val="21"/>
        </w:rPr>
        <w:t xml:space="preserve">Two references, taken up and seen by Newham Aspire.</w:t>
      </w:r>
    </w:p>
    <w:p>
      <w:pPr>
        <w:pStyle w:val="ListParagraph"/>
        <w:numPr>
          <w:ilvl w:val="0"/>
          <w:numId w:val="2"/>
        </w:numPr>
        <w:spacing w:after="70"/>
      </w:pPr>
      <w:r>
        <w:rPr>
          <w:sz w:val="21"/>
          <w:szCs w:val="21"/>
        </w:rPr>
        <w:t xml:space="preserve">Photographic identity verified in person.</w:t>
      </w:r>
    </w:p>
    <w:p>
      <w:pPr>
        <w:pStyle w:val="ListParagraph"/>
        <w:numPr>
          <w:ilvl w:val="0"/>
          <w:numId w:val="2"/>
        </w:numPr>
        <w:spacing w:after="70"/>
      </w:pPr>
      <w:r>
        <w:rPr>
          <w:sz w:val="21"/>
          <w:szCs w:val="21"/>
        </w:rPr>
        <w:t xml:space="preserve">A signed Mentor Agreement Form and Code of Conduct.</w:t>
      </w:r>
    </w:p>
    <w:p>
      <w:pPr>
        <w:pStyle w:val="ListParagraph"/>
        <w:numPr>
          <w:ilvl w:val="0"/>
          <w:numId w:val="2"/>
        </w:numPr>
        <w:spacing w:after="70"/>
      </w:pPr>
      <w:r>
        <w:rPr>
          <w:sz w:val="21"/>
          <w:szCs w:val="21"/>
        </w:rPr>
        <w:t xml:space="preserve">Safeguarding induction with the Designated Safeguarding Lead.</w:t>
      </w:r>
    </w:p>
    <w:p>
      <w:pPr>
        <w:spacing w:after="120"/>
      </w:pPr>
      <w:r>
        <w:rPr>
          <w:b w:val="false"/>
          <w:bCs w:val="false"/>
          <w:sz w:val="21"/>
          <w:szCs w:val="21"/>
        </w:rPr>
        <w:t xml:space="preserve">Newham Aspire pays for your DBS check. You must tell us straight away if your circumstances change, including any arrest, caution or conviction.</w:t>
      </w:r>
    </w:p>
    <w:p>
      <w:pPr>
        <w:pStyle w:val="Heading2"/>
        <w:spacing w:after="100" w:before="260"/>
      </w:pPr>
      <w:r>
        <w:rPr>
          <w:b/>
          <w:bCs/>
          <w:color w:val="0E5A78"/>
          <w:sz w:val="26"/>
          <w:szCs w:val="26"/>
        </w:rPr>
        <w:t xml:space="preserve">What to look out for</w:t>
      </w:r>
    </w:p>
    <w:p>
      <w:pPr>
        <w:spacing w:after="120"/>
      </w:pPr>
      <w:r>
        <w:rPr>
          <w:b w:val="false"/>
          <w:bCs w:val="false"/>
          <w:sz w:val="21"/>
          <w:szCs w:val="21"/>
        </w:rPr>
        <w:t xml:space="preserve">The four categories of abuse are physical, emotional, sexual and neglect. You should also be alert to:</w:t>
      </w:r>
    </w:p>
    <w:p>
      <w:pPr>
        <w:pStyle w:val="ListParagraph"/>
        <w:numPr>
          <w:ilvl w:val="0"/>
          <w:numId w:val="2"/>
        </w:numPr>
        <w:spacing w:after="70"/>
      </w:pPr>
      <w:r>
        <w:rPr>
          <w:sz w:val="21"/>
          <w:szCs w:val="21"/>
        </w:rPr>
        <w:t xml:space="preserve">Child sexual exploitation and child criminal exploitation, including county lines.</w:t>
      </w:r>
    </w:p>
    <w:p>
      <w:pPr>
        <w:pStyle w:val="ListParagraph"/>
        <w:numPr>
          <w:ilvl w:val="0"/>
          <w:numId w:val="2"/>
        </w:numPr>
        <w:spacing w:after="70"/>
      </w:pPr>
      <w:r>
        <w:rPr>
          <w:sz w:val="21"/>
          <w:szCs w:val="21"/>
        </w:rPr>
        <w:t xml:space="preserve">Bullying, online abuse and harassment.</w:t>
      </w:r>
    </w:p>
    <w:p>
      <w:pPr>
        <w:pStyle w:val="ListParagraph"/>
        <w:numPr>
          <w:ilvl w:val="0"/>
          <w:numId w:val="2"/>
        </w:numPr>
        <w:spacing w:after="70"/>
      </w:pPr>
      <w:r>
        <w:rPr>
          <w:sz w:val="21"/>
          <w:szCs w:val="21"/>
        </w:rPr>
        <w:t xml:space="preserve">Domestic abuse at home.</w:t>
      </w:r>
    </w:p>
    <w:p>
      <w:pPr>
        <w:pStyle w:val="ListParagraph"/>
        <w:numPr>
          <w:ilvl w:val="0"/>
          <w:numId w:val="2"/>
        </w:numPr>
        <w:spacing w:after="70"/>
      </w:pPr>
      <w:r>
        <w:rPr>
          <w:sz w:val="21"/>
          <w:szCs w:val="21"/>
        </w:rPr>
        <w:t xml:space="preserve">Radicalisation or extremism.</w:t>
      </w:r>
    </w:p>
    <w:p>
      <w:pPr>
        <w:pStyle w:val="ListParagraph"/>
        <w:numPr>
          <w:ilvl w:val="0"/>
          <w:numId w:val="2"/>
        </w:numPr>
        <w:spacing w:after="70"/>
      </w:pPr>
      <w:r>
        <w:rPr>
          <w:sz w:val="21"/>
          <w:szCs w:val="21"/>
        </w:rPr>
        <w:t xml:space="preserve">Female genital mutilation, forced marriage and so-called honour based abuse.</w:t>
      </w:r>
    </w:p>
    <w:p>
      <w:pPr>
        <w:pStyle w:val="ListParagraph"/>
        <w:numPr>
          <w:ilvl w:val="0"/>
          <w:numId w:val="2"/>
        </w:numPr>
        <w:spacing w:after="70"/>
      </w:pPr>
      <w:r>
        <w:rPr>
          <w:sz w:val="21"/>
          <w:szCs w:val="21"/>
        </w:rPr>
        <w:t xml:space="preserve">Self-harm, suicidal thoughts or a sudden change in mood or behaviour.</w:t>
      </w:r>
    </w:p>
    <w:p>
      <w:pPr>
        <w:spacing w:after="120"/>
      </w:pPr>
      <w:r>
        <w:rPr>
          <w:b w:val="false"/>
          <w:bCs w:val="false"/>
          <w:sz w:val="21"/>
          <w:szCs w:val="21"/>
        </w:rPr>
        <w:t xml:space="preserve">You do not need to be certain. If something worries you, report it.</w:t>
      </w:r>
    </w:p>
    <w:p>
      <w:r>
        <w:br w:type="page"/>
      </w:r>
    </w:p>
    <w:p>
      <w:pPr>
        <w:pStyle w:val="Heading2"/>
        <w:spacing w:after="100" w:before="260"/>
      </w:pPr>
      <w:r>
        <w:rPr>
          <w:b/>
          <w:bCs/>
          <w:color w:val="0E5A78"/>
          <w:sz w:val="26"/>
          <w:szCs w:val="26"/>
        </w:rPr>
        <w:t xml:space="preserve">If a young person tells you something</w:t>
      </w:r>
    </w:p>
    <w:p>
      <w:pPr>
        <w:pStyle w:val="ListParagraph"/>
        <w:numPr>
          <w:ilvl w:val="0"/>
          <w:numId w:val="2"/>
        </w:numPr>
        <w:spacing w:after="70"/>
      </w:pPr>
      <w:r>
        <w:rPr>
          <w:sz w:val="21"/>
          <w:szCs w:val="21"/>
        </w:rPr>
        <w:t xml:space="preserve">Stay calm and listen. Take them seriously.</w:t>
      </w:r>
    </w:p>
    <w:p>
      <w:pPr>
        <w:pStyle w:val="ListParagraph"/>
        <w:numPr>
          <w:ilvl w:val="0"/>
          <w:numId w:val="2"/>
        </w:numPr>
        <w:spacing w:after="70"/>
      </w:pPr>
      <w:r>
        <w:rPr>
          <w:sz w:val="21"/>
          <w:szCs w:val="21"/>
        </w:rPr>
        <w:t xml:space="preserve">Do not promise to keep it secret. Explain that you may need to pass it on to keep them safe.</w:t>
      </w:r>
    </w:p>
    <w:p>
      <w:pPr>
        <w:pStyle w:val="ListParagraph"/>
        <w:numPr>
          <w:ilvl w:val="0"/>
          <w:numId w:val="2"/>
        </w:numPr>
        <w:spacing w:after="70"/>
      </w:pPr>
      <w:r>
        <w:rPr>
          <w:sz w:val="21"/>
          <w:szCs w:val="21"/>
        </w:rPr>
        <w:t xml:space="preserve">Do not ask leading questions and do not investigate.</w:t>
      </w:r>
    </w:p>
    <w:p>
      <w:pPr>
        <w:pStyle w:val="ListParagraph"/>
        <w:numPr>
          <w:ilvl w:val="0"/>
          <w:numId w:val="2"/>
        </w:numPr>
        <w:spacing w:after="70"/>
      </w:pPr>
      <w:r>
        <w:rPr>
          <w:sz w:val="21"/>
          <w:szCs w:val="21"/>
        </w:rPr>
        <w:t xml:space="preserve">Write down what was said as soon as you can, in their own words, with the date and time.</w:t>
      </w:r>
    </w:p>
    <w:p>
      <w:pPr>
        <w:pStyle w:val="ListParagraph"/>
        <w:numPr>
          <w:ilvl w:val="0"/>
          <w:numId w:val="2"/>
        </w:numPr>
        <w:spacing w:after="70"/>
      </w:pPr>
      <w:r>
        <w:rPr>
          <w:sz w:val="21"/>
          <w:szCs w:val="21"/>
        </w:rPr>
        <w:t xml:space="preserve">Report it to the Designated Safeguarding Lead the same day.</w:t>
      </w:r>
    </w:p>
    <w:p>
      <w:pPr>
        <w:pStyle w:val="Heading2"/>
        <w:spacing w:after="100" w:before="260"/>
      </w:pPr>
      <w:r>
        <w:rPr>
          <w:b/>
          <w:bCs/>
          <w:color w:val="0E5A78"/>
          <w:sz w:val="26"/>
          <w:szCs w:val="26"/>
        </w:rPr>
        <w:t xml:space="preserve">Reporting a concern about a young person</w:t>
      </w:r>
    </w:p>
    <w:p>
      <w:pPr>
        <w:spacing w:after="120"/>
      </w:pPr>
      <w:r>
        <w:rPr>
          <w:b w:val="false"/>
          <w:bCs w:val="false"/>
          <w:sz w:val="21"/>
          <w:szCs w:val="21"/>
        </w:rPr>
        <w:t xml:space="preserve">Tell the Designated Safeguarding Lead the same day. If they are unavailable, tell the Deputy. If a child is in immediate danger, call 999 first.</w:t>
      </w:r>
    </w:p>
    <w:p>
      <w:pPr>
        <w:spacing w:after="120"/>
      </w:pPr>
      <w:r>
        <w:rPr>
          <w:b w:val="false"/>
          <w:bCs w:val="false"/>
          <w:sz w:val="21"/>
          <w:szCs w:val="21"/>
        </w:rPr>
        <w:t xml:space="preserve">If you believe a child is at risk of significant harm and you cannot reach either lead, you can refer directly to Newham children's social care yourself. Never delay a referral because you cannot find someone.</w:t>
      </w:r>
    </w:p>
    <w:p>
      <w:pPr>
        <w:pStyle w:val="Heading2"/>
        <w:spacing w:after="100" w:before="260"/>
      </w:pPr>
      <w:r>
        <w:rPr>
          <w:b/>
          <w:bCs/>
          <w:color w:val="0E5A78"/>
          <w:sz w:val="26"/>
          <w:szCs w:val="26"/>
        </w:rPr>
        <w:t xml:space="preserve">Allegations against a mentor, member of staff or volunteer</w:t>
      </w:r>
    </w:p>
    <w:p>
      <w:pPr>
        <w:spacing w:after="120"/>
      </w:pPr>
      <w:r>
        <w:rPr>
          <w:b w:val="false"/>
          <w:bCs w:val="false"/>
          <w:sz w:val="21"/>
          <w:szCs w:val="21"/>
        </w:rPr>
        <w:t xml:space="preserve">This is a separate process and it must not be handled informally.</w:t>
      </w:r>
    </w:p>
    <w:p>
      <w:pPr>
        <w:pStyle w:val="ListParagraph"/>
        <w:numPr>
          <w:ilvl w:val="0"/>
          <w:numId w:val="2"/>
        </w:numPr>
        <w:spacing w:after="70"/>
      </w:pPr>
      <w:r>
        <w:rPr>
          <w:sz w:val="21"/>
          <w:szCs w:val="21"/>
        </w:rPr>
        <w:t xml:space="preserve">Report it immediately to the Designated Safeguarding Lead. If the allegation concerns the Lead, report it to the Deputy or the trustee for safeguarding.</w:t>
      </w:r>
    </w:p>
    <w:p>
      <w:pPr>
        <w:pStyle w:val="ListParagraph"/>
        <w:numPr>
          <w:ilvl w:val="0"/>
          <w:numId w:val="2"/>
        </w:numPr>
        <w:spacing w:after="70"/>
      </w:pPr>
      <w:r>
        <w:rPr>
          <w:sz w:val="21"/>
          <w:szCs w:val="21"/>
        </w:rPr>
        <w:t xml:space="preserve">Newham Aspire will contact the Newham Local Authority Designated Officer (LADO) within one working day. The LADO manages all allegations against people who work with children.</w:t>
      </w:r>
    </w:p>
    <w:p>
      <w:pPr>
        <w:pStyle w:val="ListParagraph"/>
        <w:numPr>
          <w:ilvl w:val="0"/>
          <w:numId w:val="2"/>
        </w:numPr>
        <w:spacing w:after="70"/>
      </w:pPr>
      <w:r>
        <w:rPr>
          <w:sz w:val="21"/>
          <w:szCs w:val="21"/>
        </w:rPr>
        <w:t xml:space="preserve">Do not speak to the person the allegation is about, and do not investigate.</w:t>
      </w:r>
    </w:p>
    <w:p>
      <w:pPr>
        <w:pStyle w:val="ListParagraph"/>
        <w:numPr>
          <w:ilvl w:val="0"/>
          <w:numId w:val="2"/>
        </w:numPr>
        <w:spacing w:after="70"/>
      </w:pPr>
      <w:r>
        <w:rPr>
          <w:sz w:val="21"/>
          <w:szCs w:val="21"/>
        </w:rPr>
        <w:t xml:space="preserve">We will consider whether to suspend the person while the matter is looked at. Suspension is a neutral act.</w:t>
      </w:r>
    </w:p>
    <w:p>
      <w:pPr>
        <w:pStyle w:val="ListParagraph"/>
        <w:numPr>
          <w:ilvl w:val="0"/>
          <w:numId w:val="2"/>
        </w:numPr>
        <w:spacing w:after="70"/>
      </w:pPr>
      <w:r>
        <w:rPr>
          <w:sz w:val="21"/>
          <w:szCs w:val="21"/>
        </w:rPr>
        <w:t xml:space="preserve">Where a person is removed from working with children because of harm, we have a legal duty to refer them to the Disclosure and Barring Service.</w:t>
      </w:r>
    </w:p>
    <w:p>
      <w:pPr>
        <w:pStyle w:val="Heading2"/>
        <w:spacing w:after="100" w:before="260"/>
      </w:pPr>
      <w:r>
        <w:rPr>
          <w:b/>
          <w:bCs/>
          <w:color w:val="0E5A78"/>
          <w:sz w:val="26"/>
          <w:szCs w:val="26"/>
        </w:rPr>
        <w:t xml:space="preserve">Whistleblowing</w:t>
      </w:r>
    </w:p>
    <w:p>
      <w:pPr>
        <w:spacing w:after="120"/>
      </w:pPr>
      <w:r>
        <w:rPr>
          <w:b w:val="false"/>
          <w:bCs w:val="false"/>
          <w:sz w:val="21"/>
          <w:szCs w:val="21"/>
        </w:rPr>
        <w:t xml:space="preserve">If you are worried about how a safeguarding concern has been handled, raise it with the trustee for safeguarding. If you are still concerned, call the NSPCC whistleblowing line on 0800 028 0285. You are protected by the Public Interest Disclosure Act 1998.</w:t>
      </w:r>
    </w:p>
    <w:p>
      <w:pPr>
        <w:pStyle w:val="Heading2"/>
        <w:spacing w:after="100" w:before="260"/>
      </w:pPr>
      <w:r>
        <w:rPr>
          <w:b/>
          <w:bCs/>
          <w:color w:val="0E5A78"/>
          <w:sz w:val="26"/>
          <w:szCs w:val="26"/>
        </w:rPr>
        <w:t xml:space="preserve">Boundaries</w:t>
      </w:r>
    </w:p>
    <w:p>
      <w:pPr>
        <w:pStyle w:val="ListParagraph"/>
        <w:numPr>
          <w:ilvl w:val="0"/>
          <w:numId w:val="2"/>
        </w:numPr>
        <w:spacing w:after="70"/>
      </w:pPr>
      <w:r>
        <w:rPr>
          <w:sz w:val="21"/>
          <w:szCs w:val="21"/>
        </w:rPr>
        <w:t xml:space="preserve">Meet in the agreed setting and stay in sight of other adults. Do not arrange to meet a young person on your own elsewhere.</w:t>
      </w:r>
    </w:p>
    <w:p>
      <w:pPr>
        <w:pStyle w:val="ListParagraph"/>
        <w:numPr>
          <w:ilvl w:val="0"/>
          <w:numId w:val="2"/>
        </w:numPr>
        <w:spacing w:after="70"/>
      </w:pPr>
      <w:r>
        <w:rPr>
          <w:sz w:val="21"/>
          <w:szCs w:val="21"/>
        </w:rPr>
        <w:t xml:space="preserve">Use only the contact channels Newham Aspire has agreed. Do not use personal phone numbers or social media.</w:t>
      </w:r>
    </w:p>
    <w:p>
      <w:pPr>
        <w:pStyle w:val="ListParagraph"/>
        <w:numPr>
          <w:ilvl w:val="0"/>
          <w:numId w:val="2"/>
        </w:numPr>
        <w:spacing w:after="70"/>
      </w:pPr>
      <w:r>
        <w:rPr>
          <w:sz w:val="21"/>
          <w:szCs w:val="21"/>
        </w:rPr>
        <w:t xml:space="preserve">Do not give lifts, money or gifts.</w:t>
      </w:r>
    </w:p>
    <w:p>
      <w:pPr>
        <w:pStyle w:val="ListParagraph"/>
        <w:numPr>
          <w:ilvl w:val="0"/>
          <w:numId w:val="2"/>
        </w:numPr>
        <w:spacing w:after="70"/>
      </w:pPr>
      <w:r>
        <w:rPr>
          <w:sz w:val="21"/>
          <w:szCs w:val="21"/>
        </w:rPr>
        <w:t xml:space="preserve">Do not take photographs or video without written consent from a parent or guardian.</w:t>
      </w:r>
    </w:p>
    <w:p>
      <w:pPr>
        <w:pStyle w:val="ListParagraph"/>
        <w:numPr>
          <w:ilvl w:val="0"/>
          <w:numId w:val="2"/>
        </w:numPr>
        <w:spacing w:after="70"/>
      </w:pPr>
      <w:r>
        <w:rPr>
          <w:sz w:val="21"/>
          <w:szCs w:val="21"/>
        </w:rPr>
        <w:t xml:space="preserve">Avoid physical contact beyond what is normal and appropriate, such as a handshake.</w:t>
      </w:r>
    </w:p>
    <w:p>
      <w:pPr>
        <w:pStyle w:val="ListParagraph"/>
        <w:numPr>
          <w:ilvl w:val="0"/>
          <w:numId w:val="2"/>
        </w:numPr>
        <w:spacing w:after="70"/>
      </w:pPr>
      <w:r>
        <w:rPr>
          <w:sz w:val="21"/>
          <w:szCs w:val="21"/>
        </w:rPr>
        <w:t xml:space="preserve">If a young person tries to contact you privately, do not reply. Tell your coordinator the same day.</w:t>
      </w:r>
    </w:p>
    <w:p>
      <w:pPr>
        <w:pStyle w:val="Heading2"/>
        <w:spacing w:after="100" w:before="260"/>
      </w:pPr>
      <w:r>
        <w:rPr>
          <w:b/>
          <w:bCs/>
          <w:color w:val="0E5A78"/>
          <w:sz w:val="26"/>
          <w:szCs w:val="26"/>
        </w:rPr>
        <w:t xml:space="preserve">Records and data protection</w:t>
      </w:r>
    </w:p>
    <w:p>
      <w:pPr>
        <w:spacing w:after="120"/>
      </w:pPr>
      <w:r>
        <w:rPr>
          <w:b w:val="false"/>
          <w:bCs w:val="false"/>
          <w:sz w:val="21"/>
          <w:szCs w:val="21"/>
        </w:rPr>
        <w:t xml:space="preserve">Safeguarding records are confidential. Share them only with those who need to know in order to keep a young person safe. We store them securely and handle all personal information in line with the UK GDPR and the Data Protection Act 2018. Safeguarding records are kept for [retention period].</w:t>
      </w:r>
    </w:p>
    <w:p>
      <w:pPr>
        <w:pStyle w:val="Heading2"/>
        <w:spacing w:after="100" w:before="260"/>
      </w:pPr>
      <w:r>
        <w:rPr>
          <w:b/>
          <w:bCs/>
          <w:color w:val="0E5A78"/>
          <w:sz w:val="26"/>
          <w:szCs w:val="26"/>
        </w:rPr>
        <w:t xml:space="preserve">Looking after yourself</w:t>
      </w:r>
    </w:p>
    <w:p>
      <w:pPr>
        <w:spacing w:after="120"/>
      </w:pPr>
      <w:r>
        <w:rPr>
          <w:b w:val="false"/>
          <w:bCs w:val="false"/>
          <w:sz w:val="21"/>
          <w:szCs w:val="21"/>
        </w:rPr>
        <w:t xml:space="preserve">Mentoring can raise difficult issues. You do not have to carry them alone. Speak to your coordinator or the Designated Safeguarding Lead for support.</w:t>
      </w:r>
    </w:p>
    <w:p>
      <w:pPr>
        <w:pStyle w:val="Heading2"/>
        <w:spacing w:after="100" w:before="260"/>
      </w:pPr>
      <w:r>
        <w:rPr>
          <w:b/>
          <w:bCs/>
          <w:color w:val="0E5A78"/>
          <w:sz w:val="26"/>
          <w:szCs w:val="26"/>
        </w:rPr>
        <w:t xml:space="preserve">Review</w:t>
      </w:r>
    </w:p>
    <w:p>
      <w:pPr>
        <w:spacing w:after="120"/>
      </w:pPr>
      <w:r>
        <w:rPr>
          <w:b w:val="false"/>
          <w:bCs w:val="false"/>
          <w:sz w:val="21"/>
          <w:szCs w:val="21"/>
        </w:rPr>
        <w:t xml:space="preserve">The trustees review this document at least once a year, and after any serious incident.</w:t>
      </w:r>
    </w:p>
    <w:sectPr>
      <w:footerReference w:type="default" r:id="rId7"/>
      <w:pgSz w:w="11906" w:h="16838" w:orient="portrait"/>
      <w:pgMar w:top="1100" w:right="1440" w:bottom="11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A6B2"/>
        <w:sz w:val="16"/>
        <w:szCs w:val="16"/>
      </w:rPr>
      <w:t xml:space="preserve">Newham Aspire  |  Safeguarding and Child Protection  |  Version 1.0  |  Adopted [date]  |  Review by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2026-09-03T22:56:45.276Z</dcterms:created>
  <dcterms:modified xsi:type="dcterms:W3CDTF">2026-09-03T22:56:45.277Z</dcterms:modified>
</cp:coreProperties>
</file>

<file path=docProps/custom.xml><?xml version="1.0" encoding="utf-8"?>
<Properties xmlns="http://schemas.openxmlformats.org/officeDocument/2006/custom-properties" xmlns:vt="http://schemas.openxmlformats.org/officeDocument/2006/docPropsVTypes"/>
</file>