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E5A78"/>
          <w:spacing w:val="60"/>
          <w:sz w:val="18"/>
          <w:szCs w:val="18"/>
        </w:rPr>
        <w:t xml:space="preserve">NEWHAM ASPIRE</w:t>
      </w:r>
    </w:p>
    <w:p>
      <w:pPr>
        <w:pBdr>
          <w:bottom w:val="single" w:color="F39317" w:sz="12" w:space="6"/>
        </w:pBdr>
        <w:spacing w:after="80"/>
      </w:pPr>
      <w:r>
        <w:rPr>
          <w:rFonts w:ascii="Calibri" w:cs="Calibri" w:eastAsia="Calibri" w:hAnsi="Calibri"/>
          <w:b/>
          <w:bCs/>
          <w:color w:val="0E5A78"/>
          <w:sz w:val="40"/>
          <w:szCs w:val="40"/>
        </w:rPr>
        <w:t xml:space="preserve">Mentor Handbook</w:t>
      </w:r>
    </w:p>
    <w:p>
      <w:pPr>
        <w:spacing w:after="200" w:before="160"/>
      </w:pPr>
      <w:r>
        <w:rPr>
          <w:i/>
          <w:iCs/>
          <w:color w:val="5A6673"/>
          <w:sz w:val="20"/>
          <w:szCs w:val="20"/>
        </w:rPr>
        <w:t xml:space="preserve">What you need to know before your first session as a Newham Aspire mentor.</w:t>
      </w:r>
    </w:p>
    <w:p>
      <w:pPr>
        <w:pStyle w:val="Heading2"/>
        <w:spacing w:after="100" w:before="260"/>
      </w:pPr>
      <w:r>
        <w:rPr>
          <w:b/>
          <w:bCs/>
          <w:color w:val="0E5A78"/>
          <w:sz w:val="26"/>
          <w:szCs w:val="26"/>
        </w:rPr>
        <w:t xml:space="preserve">Welcome</w:t>
      </w:r>
    </w:p>
    <w:p>
      <w:pPr>
        <w:spacing w:after="120"/>
      </w:pPr>
      <w:r>
        <w:rPr>
          <w:b w:val="false"/>
          <w:bCs w:val="false"/>
          <w:sz w:val="21"/>
          <w:szCs w:val="21"/>
        </w:rPr>
        <w:t xml:space="preserve">Thank you for volunteering. By giving a few hours of your time, you are helping a young person in Newham build the confidence and skills to step into work.</w:t>
      </w:r>
    </w:p>
    <w:p>
      <w:pPr>
        <w:pStyle w:val="Heading2"/>
        <w:spacing w:after="100" w:before="260"/>
      </w:pPr>
      <w:r>
        <w:rPr>
          <w:b/>
          <w:bCs/>
          <w:color w:val="0E5A78"/>
          <w:sz w:val="26"/>
          <w:szCs w:val="26"/>
        </w:rPr>
        <w:t xml:space="preserve">About us</w:t>
      </w:r>
    </w:p>
    <w:p>
      <w:pPr>
        <w:spacing w:after="120"/>
      </w:pPr>
      <w:r>
        <w:rPr>
          <w:b w:val="false"/>
          <w:bCs w:val="false"/>
          <w:sz w:val="21"/>
          <w:szCs w:val="21"/>
        </w:rPr>
        <w:t xml:space="preserve">Newham Aspire helps young people aged 11 to 18 get ready for the world of work through mentoring and practical workshops covering CVs and applications, interview preparation, financial skills, and modern technology including AI. Our values are Empower, Educate, Elevate.</w:t>
      </w:r>
    </w:p>
    <w:p>
      <w:pPr>
        <w:pStyle w:val="Heading2"/>
        <w:spacing w:after="100" w:before="260"/>
      </w:pPr>
      <w:r>
        <w:rPr>
          <w:b/>
          <w:bCs/>
          <w:color w:val="0E5A78"/>
          <w:sz w:val="26"/>
          <w:szCs w:val="26"/>
        </w:rPr>
        <w:t xml:space="preserve">Your role</w:t>
      </w:r>
    </w:p>
    <w:p>
      <w:pPr>
        <w:pStyle w:val="ListParagraph"/>
        <w:numPr>
          <w:ilvl w:val="0"/>
          <w:numId w:val="2"/>
        </w:numPr>
        <w:spacing w:after="70"/>
      </w:pPr>
      <w:r>
        <w:rPr>
          <w:sz w:val="21"/>
          <w:szCs w:val="21"/>
        </w:rPr>
        <w:t xml:space="preserve">Be a reliable, friendly point of contact.</w:t>
      </w:r>
    </w:p>
    <w:p>
      <w:pPr>
        <w:pStyle w:val="ListParagraph"/>
        <w:numPr>
          <w:ilvl w:val="0"/>
          <w:numId w:val="2"/>
        </w:numPr>
        <w:spacing w:after="70"/>
      </w:pPr>
      <w:r>
        <w:rPr>
          <w:sz w:val="21"/>
          <w:szCs w:val="21"/>
        </w:rPr>
        <w:t xml:space="preserve">Listen, encourage and share honest advice from your own experience.</w:t>
      </w:r>
    </w:p>
    <w:p>
      <w:pPr>
        <w:pStyle w:val="ListParagraph"/>
        <w:numPr>
          <w:ilvl w:val="0"/>
          <w:numId w:val="2"/>
        </w:numPr>
        <w:spacing w:after="70"/>
      </w:pPr>
      <w:r>
        <w:rPr>
          <w:sz w:val="21"/>
          <w:szCs w:val="21"/>
        </w:rPr>
        <w:t xml:space="preserve">Help your mentee set small goals and take practical next steps.</w:t>
      </w:r>
    </w:p>
    <w:p>
      <w:pPr>
        <w:pStyle w:val="ListParagraph"/>
        <w:numPr>
          <w:ilvl w:val="0"/>
          <w:numId w:val="2"/>
        </w:numPr>
        <w:spacing w:after="70"/>
      </w:pPr>
      <w:r>
        <w:rPr>
          <w:sz w:val="21"/>
          <w:szCs w:val="21"/>
        </w:rPr>
        <w:t xml:space="preserve">Talk about your industry, how you got in, and what employers look for.</w:t>
      </w:r>
    </w:p>
    <w:p>
      <w:pPr>
        <w:spacing w:after="120"/>
      </w:pPr>
      <w:r>
        <w:rPr>
          <w:b w:val="false"/>
          <w:bCs w:val="false"/>
          <w:sz w:val="21"/>
          <w:szCs w:val="21"/>
        </w:rPr>
        <w:t xml:space="preserve">You are not a careers adviser, counsellor or teacher. If a young person needs specialist help, tell your coordinator.</w:t>
      </w:r>
    </w:p>
    <w:p>
      <w:pPr>
        <w:pStyle w:val="Heading2"/>
        <w:spacing w:after="100" w:before="260"/>
      </w:pPr>
      <w:r>
        <w:rPr>
          <w:b/>
          <w:bCs/>
          <w:color w:val="0E5A78"/>
          <w:sz w:val="26"/>
          <w:szCs w:val="26"/>
        </w:rPr>
        <w:t xml:space="preserve">How mentoring works</w:t>
      </w:r>
    </w:p>
    <w:p>
      <w:pPr>
        <w:pStyle w:val="ListParagraph"/>
        <w:numPr>
          <w:ilvl w:val="0"/>
          <w:numId w:val="2"/>
        </w:numPr>
        <w:spacing w:after="70"/>
      </w:pPr>
      <w:r>
        <w:rPr>
          <w:sz w:val="21"/>
          <w:szCs w:val="21"/>
        </w:rPr>
        <w:t xml:space="preserve">We match you with a mentee based on their interests and your experience.</w:t>
      </w:r>
    </w:p>
    <w:p>
      <w:pPr>
        <w:pStyle w:val="ListParagraph"/>
        <w:numPr>
          <w:ilvl w:val="0"/>
          <w:numId w:val="2"/>
        </w:numPr>
        <w:spacing w:after="70"/>
      </w:pPr>
      <w:r>
        <w:rPr>
          <w:sz w:val="21"/>
          <w:szCs w:val="21"/>
        </w:rPr>
        <w:t xml:space="preserve">You agree how often to meet, for example once or twice a month.</w:t>
      </w:r>
    </w:p>
    <w:p>
      <w:pPr>
        <w:pStyle w:val="ListParagraph"/>
        <w:numPr>
          <w:ilvl w:val="0"/>
          <w:numId w:val="2"/>
        </w:numPr>
        <w:spacing w:after="70"/>
      </w:pPr>
      <w:r>
        <w:rPr>
          <w:sz w:val="21"/>
          <w:szCs w:val="21"/>
        </w:rPr>
        <w:t xml:space="preserve">Sessions take place at [venue] or online using [platform]. Both of you should never be alone and out of sight of other adults.</w:t>
      </w:r>
    </w:p>
    <w:p>
      <w:pPr>
        <w:pStyle w:val="ListParagraph"/>
        <w:numPr>
          <w:ilvl w:val="0"/>
          <w:numId w:val="2"/>
        </w:numPr>
        <w:spacing w:after="70"/>
      </w:pPr>
      <w:r>
        <w:rPr>
          <w:sz w:val="21"/>
          <w:szCs w:val="21"/>
        </w:rPr>
        <w:t xml:space="preserve">Use the Mentoring Plan to agree goals and note what you covered.</w:t>
      </w:r>
    </w:p>
    <w:p>
      <w:pPr>
        <w:pStyle w:val="ListParagraph"/>
        <w:numPr>
          <w:ilvl w:val="0"/>
          <w:numId w:val="2"/>
        </w:numPr>
        <w:spacing w:after="70"/>
      </w:pPr>
      <w:r>
        <w:rPr>
          <w:sz w:val="21"/>
          <w:szCs w:val="21"/>
        </w:rPr>
        <w:t xml:space="preserve">Sessions usually last [length]. A mentoring match normally runs for [duration].</w:t>
      </w:r>
    </w:p>
    <w:p>
      <w:pPr>
        <w:pStyle w:val="Heading2"/>
        <w:spacing w:after="100" w:before="260"/>
      </w:pPr>
      <w:r>
        <w:rPr>
          <w:b/>
          <w:bCs/>
          <w:color w:val="0E5A78"/>
          <w:sz w:val="26"/>
          <w:szCs w:val="26"/>
        </w:rPr>
        <w:t xml:space="preserve">Making sessions work</w:t>
      </w:r>
    </w:p>
    <w:p>
      <w:pPr>
        <w:pStyle w:val="ListParagraph"/>
        <w:numPr>
          <w:ilvl w:val="0"/>
          <w:numId w:val="2"/>
        </w:numPr>
        <w:spacing w:after="70"/>
      </w:pPr>
      <w:r>
        <w:rPr>
          <w:sz w:val="21"/>
          <w:szCs w:val="21"/>
        </w:rPr>
        <w:t xml:space="preserve">Spend the first session getting to know each other. Trust comes before goals.</w:t>
      </w:r>
    </w:p>
    <w:p>
      <w:pPr>
        <w:pStyle w:val="ListParagraph"/>
        <w:numPr>
          <w:ilvl w:val="0"/>
          <w:numId w:val="2"/>
        </w:numPr>
        <w:spacing w:after="70"/>
      </w:pPr>
      <w:r>
        <w:rPr>
          <w:sz w:val="21"/>
          <w:szCs w:val="21"/>
        </w:rPr>
        <w:t xml:space="preserve">Ask open questions and let your mentee do most of the talking.</w:t>
      </w:r>
    </w:p>
    <w:p>
      <w:pPr>
        <w:pStyle w:val="ListParagraph"/>
        <w:numPr>
          <w:ilvl w:val="0"/>
          <w:numId w:val="2"/>
        </w:numPr>
        <w:spacing w:after="70"/>
      </w:pPr>
      <w:r>
        <w:rPr>
          <w:sz w:val="21"/>
          <w:szCs w:val="21"/>
        </w:rPr>
        <w:t xml:space="preserve">Agree one or two small actions at the end of each session.</w:t>
      </w:r>
    </w:p>
    <w:p>
      <w:pPr>
        <w:pStyle w:val="ListParagraph"/>
        <w:numPr>
          <w:ilvl w:val="0"/>
          <w:numId w:val="2"/>
        </w:numPr>
        <w:spacing w:after="70"/>
      </w:pPr>
      <w:r>
        <w:rPr>
          <w:sz w:val="21"/>
          <w:szCs w:val="21"/>
        </w:rPr>
        <w:t xml:space="preserve">Notice progress and say so.</w:t>
      </w:r>
    </w:p>
    <w:p>
      <w:pPr>
        <w:pStyle w:val="ListParagraph"/>
        <w:numPr>
          <w:ilvl w:val="0"/>
          <w:numId w:val="2"/>
        </w:numPr>
        <w:spacing w:after="70"/>
      </w:pPr>
      <w:r>
        <w:rPr>
          <w:sz w:val="21"/>
          <w:szCs w:val="21"/>
        </w:rPr>
        <w:t xml:space="preserve">Some sessions are about listening rather than fixing.</w:t>
      </w:r>
    </w:p>
    <w:p>
      <w:pPr>
        <w:pStyle w:val="Heading2"/>
        <w:spacing w:after="100" w:before="260"/>
      </w:pPr>
      <w:r>
        <w:rPr>
          <w:b/>
          <w:bCs/>
          <w:color w:val="0E5A78"/>
          <w:sz w:val="26"/>
          <w:szCs w:val="26"/>
        </w:rPr>
        <w:t xml:space="preserve">Boundaries</w:t>
      </w:r>
    </w:p>
    <w:p>
      <w:pPr>
        <w:spacing w:after="120"/>
      </w:pPr>
      <w:r>
        <w:rPr>
          <w:b w:val="false"/>
          <w:bCs w:val="false"/>
          <w:sz w:val="21"/>
          <w:szCs w:val="21"/>
        </w:rPr>
        <w:t xml:space="preserve">Boundaries protect you as well as the young person. The full list is in the Code of Conduct. The main points are:</w:t>
      </w:r>
    </w:p>
    <w:p>
      <w:pPr>
        <w:pStyle w:val="ListParagraph"/>
        <w:numPr>
          <w:ilvl w:val="0"/>
          <w:numId w:val="2"/>
        </w:numPr>
        <w:spacing w:after="70"/>
      </w:pPr>
      <w:r>
        <w:rPr>
          <w:sz w:val="21"/>
          <w:szCs w:val="21"/>
        </w:rPr>
        <w:t xml:space="preserve">Meet only in the agreed setting, in sight of other adults.</w:t>
      </w:r>
    </w:p>
    <w:p>
      <w:pPr>
        <w:pStyle w:val="ListParagraph"/>
        <w:numPr>
          <w:ilvl w:val="0"/>
          <w:numId w:val="2"/>
        </w:numPr>
        <w:spacing w:after="70"/>
      </w:pPr>
      <w:r>
        <w:rPr>
          <w:sz w:val="21"/>
          <w:szCs w:val="21"/>
        </w:rPr>
        <w:t xml:space="preserve">Use only Newham Aspire's agreed contact channels, never personal social media.</w:t>
      </w:r>
    </w:p>
    <w:p>
      <w:pPr>
        <w:pStyle w:val="ListParagraph"/>
        <w:numPr>
          <w:ilvl w:val="0"/>
          <w:numId w:val="2"/>
        </w:numPr>
        <w:spacing w:after="70"/>
      </w:pPr>
      <w:r>
        <w:rPr>
          <w:sz w:val="21"/>
          <w:szCs w:val="21"/>
        </w:rPr>
        <w:t xml:space="preserve">No lifts, money or gifts.</w:t>
      </w:r>
    </w:p>
    <w:p>
      <w:pPr>
        <w:pStyle w:val="ListParagraph"/>
        <w:numPr>
          <w:ilvl w:val="0"/>
          <w:numId w:val="2"/>
        </w:numPr>
        <w:spacing w:after="70"/>
      </w:pPr>
      <w:r>
        <w:rPr>
          <w:sz w:val="21"/>
          <w:szCs w:val="21"/>
        </w:rPr>
        <w:t xml:space="preserve">No photographs without written consent from a parent or guardian.</w:t>
      </w:r>
    </w:p>
    <w:p>
      <w:pPr>
        <w:pStyle w:val="Heading2"/>
        <w:spacing w:after="100" w:before="260"/>
      </w:pPr>
      <w:r>
        <w:rPr>
          <w:b/>
          <w:bCs/>
          <w:color w:val="0E5A78"/>
          <w:sz w:val="26"/>
          <w:szCs w:val="26"/>
        </w:rPr>
        <w:t xml:space="preserve">If you have a concern</w:t>
      </w:r>
    </w:p>
    <w:p>
      <w:pPr>
        <w:spacing w:after="120"/>
      </w:pPr>
      <w:r>
        <w:rPr>
          <w:b w:val="false"/>
          <w:bCs w:val="false"/>
          <w:sz w:val="21"/>
          <w:szCs w:val="21"/>
        </w:rPr>
        <w:t xml:space="preserve">If you are ever worried about a young person's safety or wellbeing, report it the same day to the Designated Safeguarding Lead. Do not investigate it yourself. The Safeguarding and Child Protection document explains what to do.</w:t>
      </w:r>
    </w:p>
    <w:p>
      <w:pPr>
        <w:pStyle w:val="Heading2"/>
        <w:spacing w:after="100" w:before="260"/>
      </w:pPr>
      <w:r>
        <w:rPr>
          <w:b/>
          <w:bCs/>
          <w:color w:val="0E5A78"/>
          <w:sz w:val="26"/>
          <w:szCs w:val="26"/>
        </w:rPr>
        <w:t xml:space="preserve">Your information and theirs</w:t>
      </w:r>
    </w:p>
    <w:p>
      <w:pPr>
        <w:spacing w:after="120"/>
      </w:pPr>
      <w:r>
        <w:rPr>
          <w:b w:val="false"/>
          <w:bCs w:val="false"/>
          <w:sz w:val="21"/>
          <w:szCs w:val="21"/>
        </w:rPr>
        <w:t xml:space="preserve">Keep any notes about your mentee secure and share them only with Newham Aspire. Do not keep personal details on your own devices beyond what you need. We handle personal information in line with the UK GDPR and the Data Protection Act 2018.</w:t>
      </w:r>
    </w:p>
    <w:p>
      <w:pPr>
        <w:pStyle w:val="Heading2"/>
        <w:spacing w:after="100" w:before="260"/>
      </w:pPr>
      <w:r>
        <w:rPr>
          <w:b/>
          <w:bCs/>
          <w:color w:val="0E5A78"/>
          <w:sz w:val="26"/>
          <w:szCs w:val="26"/>
        </w:rPr>
        <w:t xml:space="preserve">Expenses and insurance</w:t>
      </w:r>
    </w:p>
    <w:p>
      <w:pPr>
        <w:spacing w:after="120"/>
      </w:pPr>
      <w:r>
        <w:rPr>
          <w:b w:val="false"/>
          <w:bCs w:val="false"/>
          <w:sz w:val="21"/>
          <w:szCs w:val="21"/>
        </w:rPr>
        <w:t xml:space="preserve">Newham Aspire covers your DBS check. We reimburse reasonable travel costs agreed in advance. Ask your coordinator for the expenses form. Volunteers are covered by our public liability insurance while carrying out agreed activities.</w:t>
      </w:r>
    </w:p>
    <w:p>
      <w:pPr>
        <w:pStyle w:val="Heading2"/>
        <w:spacing w:after="100" w:before="260"/>
      </w:pPr>
      <w:r>
        <w:rPr>
          <w:b/>
          <w:bCs/>
          <w:color w:val="0E5A78"/>
          <w:sz w:val="26"/>
          <w:szCs w:val="26"/>
        </w:rPr>
        <w:t xml:space="preserve">Ending well</w:t>
      </w:r>
    </w:p>
    <w:p>
      <w:pPr>
        <w:spacing w:after="120"/>
      </w:pPr>
      <w:r>
        <w:rPr>
          <w:b w:val="false"/>
          <w:bCs w:val="false"/>
          <w:sz w:val="21"/>
          <w:szCs w:val="21"/>
        </w:rPr>
        <w:t xml:space="preserve">Mentoring relationships come to a natural end. Agree a final session, look back at what your mentee has achieved, and hand back to your coordinator. Do not stay in private contact afterwards.</w:t>
      </w:r>
    </w:p>
    <w:p>
      <w:pPr>
        <w:pStyle w:val="Heading2"/>
        <w:spacing w:after="100" w:before="260"/>
      </w:pPr>
      <w:r>
        <w:rPr>
          <w:b/>
          <w:bCs/>
          <w:color w:val="0E5A78"/>
          <w:sz w:val="26"/>
          <w:szCs w:val="26"/>
        </w:rPr>
        <w:t xml:space="preserve">If something goes wrong</w:t>
      </w:r>
    </w:p>
    <w:p>
      <w:pPr>
        <w:spacing w:after="120"/>
      </w:pPr>
      <w:r>
        <w:rPr>
          <w:b w:val="false"/>
          <w:bCs w:val="false"/>
          <w:sz w:val="21"/>
          <w:szCs w:val="21"/>
        </w:rPr>
        <w:t xml:space="preserve">If you have a problem or complaint, speak to your coordinator first. If it is not resolved, write to the trustees at [email]. We will reply within [number] working days.</w:t>
      </w:r>
    </w:p>
    <w:p>
      <w:pPr>
        <w:pStyle w:val="Heading2"/>
        <w:spacing w:after="100" w:before="260"/>
      </w:pPr>
      <w:r>
        <w:rPr>
          <w:b/>
          <w:bCs/>
          <w:color w:val="0E5A78"/>
          <w:sz w:val="26"/>
          <w:szCs w:val="26"/>
        </w:rPr>
        <w:t xml:space="preserve">Key contacts</w:t>
      </w:r>
    </w:p>
    <w:tbl>
      <w:tblPr>
        <w:tblW w:type="dxa" w:w="9020"/>
        <w:tblBorders>
          <w:top w:val="single" w:color="D9E0E6" w:sz="2"/>
          <w:left w:val="single" w:color="D9E0E6" w:sz="2"/>
          <w:bottom w:val="single" w:color="D9E0E6" w:sz="2"/>
          <w:right w:val="single" w:color="D9E0E6" w:sz="2"/>
          <w:insideH w:val="single" w:color="D9E0E6" w:sz="2"/>
          <w:insideV w:val="single" w:color="D9E0E6" w:sz="2"/>
        </w:tblBorders>
      </w:tblPr>
      <w:tblGrid>
        <w:gridCol w:w="3200"/>
        <w:gridCol w:w="5820"/>
      </w:tblGrid>
      <w:tr>
        <w:tc>
          <w:tcPr>
            <w:tcW w:type="dxa" w:w="3200"/>
            <w:shd w:fill="E7F1F5" w:val="clear"/>
            <w:tcMar>
              <w:top w:type="dxa" w:w="90"/>
              <w:left w:type="dxa" w:w="130"/>
              <w:bottom w:type="dxa" w:w="90"/>
              <w:right w:type="dxa" w:w="130"/>
            </w:tcMar>
          </w:tcPr>
          <w:p>
            <w:r>
              <w:rPr>
                <w:b/>
                <w:bCs/>
                <w:color w:val="0E5A78"/>
                <w:sz w:val="20"/>
                <w:szCs w:val="20"/>
              </w:rPr>
              <w:t xml:space="preserve">Who</w:t>
            </w:r>
          </w:p>
        </w:tc>
        <w:tc>
          <w:tcPr>
            <w:tcW w:type="dxa" w:w="5820"/>
            <w:shd w:fill="E7F1F5" w:val="clear"/>
            <w:tcMar>
              <w:top w:type="dxa" w:w="90"/>
              <w:left w:type="dxa" w:w="130"/>
              <w:bottom w:type="dxa" w:w="90"/>
              <w:right w:type="dxa" w:w="130"/>
            </w:tcMar>
          </w:tcPr>
          <w:p>
            <w:r>
              <w:rPr>
                <w:b/>
                <w:bCs/>
                <w:color w:val="0E5A78"/>
                <w:sz w:val="20"/>
                <w:szCs w:val="20"/>
              </w:rPr>
              <w:t xml:space="preserve">Contact</w:t>
            </w:r>
          </w:p>
        </w:tc>
      </w:tr>
      <w:tr>
        <w:tc>
          <w:tcPr>
            <w:tcW w:type="dxa" w:w="3200"/>
            <w:tcMar>
              <w:top w:type="dxa" w:w="90"/>
              <w:left w:type="dxa" w:w="130"/>
              <w:bottom w:type="dxa" w:w="90"/>
              <w:right w:type="dxa" w:w="130"/>
            </w:tcMar>
          </w:tcPr>
          <w:p>
            <w:r>
              <w:rPr>
                <w:b/>
                <w:bCs/>
                <w:sz w:val="20"/>
                <w:szCs w:val="20"/>
              </w:rPr>
              <w:t xml:space="preserve">General enquiries</w:t>
            </w:r>
          </w:p>
        </w:tc>
        <w:tc>
          <w:tcPr>
            <w:tcW w:type="dxa" w:w="5820"/>
            <w:tcMar>
              <w:top w:type="dxa" w:w="90"/>
              <w:left w:type="dxa" w:w="130"/>
              <w:bottom w:type="dxa" w:w="90"/>
              <w:right w:type="dxa" w:w="130"/>
            </w:tcMar>
          </w:tcPr>
          <w:p>
            <w:r>
              <w:rPr>
                <w:b w:val="false"/>
                <w:bCs w:val="false"/>
                <w:sz w:val="20"/>
                <w:szCs w:val="20"/>
              </w:rPr>
              <w:t xml:space="preserve">info@newhamaspire.org</w:t>
            </w:r>
          </w:p>
        </w:tc>
      </w:tr>
      <w:tr>
        <w:tc>
          <w:tcPr>
            <w:tcW w:type="dxa" w:w="3200"/>
            <w:tcMar>
              <w:top w:type="dxa" w:w="90"/>
              <w:left w:type="dxa" w:w="130"/>
              <w:bottom w:type="dxa" w:w="90"/>
              <w:right w:type="dxa" w:w="130"/>
            </w:tcMar>
          </w:tcPr>
          <w:p>
            <w:r>
              <w:rPr>
                <w:b/>
                <w:bCs/>
                <w:sz w:val="20"/>
                <w:szCs w:val="20"/>
              </w:rPr>
              <w:t xml:space="preserve">Designated Safeguarding Lead</w:t>
            </w:r>
          </w:p>
        </w:tc>
        <w:tc>
          <w:tcPr>
            <w:tcW w:type="dxa" w:w="5820"/>
            <w:tcMar>
              <w:top w:type="dxa" w:w="90"/>
              <w:left w:type="dxa" w:w="130"/>
              <w:bottom w:type="dxa" w:w="90"/>
              <w:right w:type="dxa" w:w="130"/>
            </w:tcMar>
          </w:tcPr>
          <w:p>
            <w:r>
              <w:rPr>
                <w:b w:val="false"/>
                <w:bCs w:val="false"/>
                <w:sz w:val="20"/>
                <w:szCs w:val="20"/>
              </w:rPr>
              <w:t xml:space="preserve">[name], [phone], [email]</w:t>
            </w:r>
          </w:p>
        </w:tc>
      </w:tr>
      <w:tr>
        <w:tc>
          <w:tcPr>
            <w:tcW w:type="dxa" w:w="3200"/>
            <w:tcMar>
              <w:top w:type="dxa" w:w="90"/>
              <w:left w:type="dxa" w:w="130"/>
              <w:bottom w:type="dxa" w:w="90"/>
              <w:right w:type="dxa" w:w="130"/>
            </w:tcMar>
          </w:tcPr>
          <w:p>
            <w:r>
              <w:rPr>
                <w:b/>
                <w:bCs/>
                <w:sz w:val="20"/>
                <w:szCs w:val="20"/>
              </w:rPr>
              <w:t xml:space="preserve">Your mentoring coordinator</w:t>
            </w:r>
          </w:p>
        </w:tc>
        <w:tc>
          <w:tcPr>
            <w:tcW w:type="dxa" w:w="5820"/>
            <w:tcMar>
              <w:top w:type="dxa" w:w="90"/>
              <w:left w:type="dxa" w:w="130"/>
              <w:bottom w:type="dxa" w:w="90"/>
              <w:right w:type="dxa" w:w="130"/>
            </w:tcMar>
          </w:tcPr>
          <w:p>
            <w:r>
              <w:rPr>
                <w:b w:val="false"/>
                <w:bCs w:val="false"/>
                <w:sz w:val="20"/>
                <w:szCs w:val="20"/>
              </w:rPr>
              <w:t xml:space="preserve">[name], [email]</w:t>
            </w:r>
          </w:p>
        </w:tc>
      </w:tr>
      <w:tr>
        <w:tc>
          <w:tcPr>
            <w:tcW w:type="dxa" w:w="3200"/>
            <w:tcMar>
              <w:top w:type="dxa" w:w="90"/>
              <w:left w:type="dxa" w:w="130"/>
              <w:bottom w:type="dxa" w:w="90"/>
              <w:right w:type="dxa" w:w="130"/>
            </w:tcMar>
          </w:tcPr>
          <w:p>
            <w:r>
              <w:rPr>
                <w:b/>
                <w:bCs/>
                <w:sz w:val="20"/>
                <w:szCs w:val="20"/>
              </w:rPr>
              <w:t xml:space="preserve">Child in immediate danger</w:t>
            </w:r>
          </w:p>
        </w:tc>
        <w:tc>
          <w:tcPr>
            <w:tcW w:type="dxa" w:w="5820"/>
            <w:tcMar>
              <w:top w:type="dxa" w:w="90"/>
              <w:left w:type="dxa" w:w="130"/>
              <w:bottom w:type="dxa" w:w="90"/>
              <w:right w:type="dxa" w:w="130"/>
            </w:tcMar>
          </w:tcPr>
          <w:p>
            <w:r>
              <w:rPr>
                <w:b w:val="false"/>
                <w:bCs w:val="false"/>
                <w:sz w:val="20"/>
                <w:szCs w:val="20"/>
              </w:rPr>
              <w:t xml:space="preserve">Police, 999</w:t>
            </w:r>
          </w:p>
        </w:tc>
      </w:tr>
    </w:tbl>
    <w:sectPr>
      <w:footerReference w:type="default" r:id="rId7"/>
      <w:pgSz w:w="11906" w:h="16838" w:orient="portrait"/>
      <w:pgMar w:top="1100" w:right="1440" w:bottom="11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AA6B2"/>
        <w:sz w:val="16"/>
        <w:szCs w:val="16"/>
      </w:rPr>
      <w:t xml:space="preserve">Newham Aspire  |  Mentor Handbook  |  Version 1.0  |  Adopted [date]  |  Review by [date]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2026-09-03T22:56:45.284Z</dcterms:created>
  <dcterms:modified xsi:type="dcterms:W3CDTF">2026-09-03T22:56:45.284Z</dcterms:modified>
</cp:coreProperties>
</file>

<file path=docProps/custom.xml><?xml version="1.0" encoding="utf-8"?>
<Properties xmlns="http://schemas.openxmlformats.org/officeDocument/2006/custom-properties" xmlns:vt="http://schemas.openxmlformats.org/officeDocument/2006/docPropsVTypes"/>
</file>